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E6" w:rsidRDefault="008663E6"/>
    <w:p w:rsidR="008663E6" w:rsidRDefault="008663E6"/>
    <w:tbl>
      <w:tblPr>
        <w:tblW w:w="102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60"/>
        <w:gridCol w:w="4500"/>
      </w:tblGrid>
      <w:tr w:rsidR="008663E6">
        <w:trPr>
          <w:trHeight w:val="2856"/>
        </w:trPr>
        <w:tc>
          <w:tcPr>
            <w:tcW w:w="5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63E6" w:rsidRDefault="008663E6">
            <w:pPr>
              <w:tabs>
                <w:tab w:val="left" w:pos="1365"/>
              </w:tabs>
              <w:jc w:val="center"/>
              <w:rPr>
                <w:b/>
                <w:color w:val="800000"/>
                <w:sz w:val="36"/>
                <w:szCs w:val="36"/>
              </w:rPr>
            </w:pPr>
          </w:p>
          <w:p w:rsidR="008663E6" w:rsidRDefault="00FD09D7">
            <w:pPr>
              <w:tabs>
                <w:tab w:val="left" w:pos="1365"/>
              </w:tabs>
              <w:jc w:val="center"/>
              <w:rPr>
                <w:b/>
                <w:color w:val="800000"/>
                <w:sz w:val="36"/>
                <w:szCs w:val="36"/>
              </w:rPr>
            </w:pPr>
            <w:r>
              <w:rPr>
                <w:b/>
                <w:color w:val="800000"/>
                <w:sz w:val="36"/>
                <w:szCs w:val="36"/>
              </w:rPr>
              <w:t xml:space="preserve">ПАМЯТКА </w:t>
            </w:r>
          </w:p>
          <w:p w:rsidR="008663E6" w:rsidRDefault="008663E6">
            <w:pPr>
              <w:tabs>
                <w:tab w:val="left" w:pos="1365"/>
              </w:tabs>
              <w:jc w:val="both"/>
              <w:rPr>
                <w:b/>
                <w:color w:val="800000"/>
              </w:rPr>
            </w:pPr>
          </w:p>
          <w:p w:rsidR="008663E6" w:rsidRDefault="00FD09D7">
            <w:pPr>
              <w:tabs>
                <w:tab w:val="left" w:pos="1365"/>
              </w:tabs>
              <w:jc w:val="center"/>
              <w:rPr>
                <w:b/>
                <w:color w:val="4F6228"/>
                <w:sz w:val="27"/>
                <w:szCs w:val="27"/>
              </w:rPr>
            </w:pPr>
            <w:r>
              <w:rPr>
                <w:b/>
                <w:color w:val="4F6228"/>
                <w:sz w:val="27"/>
                <w:szCs w:val="27"/>
              </w:rPr>
              <w:t>Ежемесячная денежная выплата лицам из числа детей-сирот и детей, оставшихся без п</w:t>
            </w:r>
            <w:r w:rsidR="008B737C">
              <w:rPr>
                <w:b/>
                <w:color w:val="4F6228"/>
                <w:sz w:val="27"/>
                <w:szCs w:val="27"/>
              </w:rPr>
              <w:t>опечения родителей, продолжающих</w:t>
            </w:r>
            <w:r>
              <w:rPr>
                <w:b/>
                <w:color w:val="4F6228"/>
                <w:sz w:val="27"/>
                <w:szCs w:val="27"/>
              </w:rPr>
              <w:t xml:space="preserve"> обучение в общеобразовательных учреждениях</w:t>
            </w:r>
          </w:p>
        </w:tc>
        <w:tc>
          <w:tcPr>
            <w:tcW w:w="4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63E6" w:rsidRDefault="00FD09D7">
            <w:pPr>
              <w:tabs>
                <w:tab w:val="left" w:pos="1365"/>
              </w:tabs>
              <w:jc w:val="center"/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587625" cy="172593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587625" cy="172593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663300"/>
                            </a:solidFill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3E6" w:rsidRDefault="008663E6">
      <w:pPr>
        <w:tabs>
          <w:tab w:val="left" w:pos="1365"/>
        </w:tabs>
        <w:jc w:val="center"/>
        <w:rPr>
          <w:color w:val="800000"/>
          <w:sz w:val="16"/>
          <w:szCs w:val="16"/>
        </w:rPr>
      </w:pPr>
    </w:p>
    <w:p w:rsidR="008663E6" w:rsidRDefault="00FD09D7">
      <w:pPr>
        <w:tabs>
          <w:tab w:val="left" w:pos="1365"/>
        </w:tabs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Закон Иркутской области от 17 декабря 2008 года № 107-оз </w:t>
      </w:r>
    </w:p>
    <w:p w:rsidR="008663E6" w:rsidRDefault="00FD09D7">
      <w:pPr>
        <w:tabs>
          <w:tab w:val="left" w:pos="1365"/>
        </w:tabs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«Об отдельных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в Иркутской области»</w:t>
      </w:r>
    </w:p>
    <w:p w:rsidR="008663E6" w:rsidRDefault="008663E6">
      <w:pPr>
        <w:tabs>
          <w:tab w:val="left" w:pos="1365"/>
        </w:tabs>
        <w:jc w:val="both"/>
        <w:rPr>
          <w:color w:val="800000"/>
          <w:sz w:val="28"/>
          <w:szCs w:val="28"/>
        </w:rPr>
      </w:pPr>
    </w:p>
    <w:tbl>
      <w:tblPr>
        <w:tblW w:w="10173" w:type="dxa"/>
        <w:tblInd w:w="3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4053"/>
        <w:gridCol w:w="6120"/>
      </w:tblGrid>
      <w:tr w:rsidR="008663E6">
        <w:tc>
          <w:tcPr>
            <w:tcW w:w="4053" w:type="dxa"/>
            <w:shd w:val="clear" w:color="auto" w:fill="F2F2F2"/>
          </w:tcPr>
          <w:p w:rsidR="008663E6" w:rsidRDefault="00FD09D7">
            <w:pPr>
              <w:ind w:left="165" w:right="159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1. Категори</w:t>
            </w:r>
            <w:r w:rsidR="00BA28CE">
              <w:rPr>
                <w:b/>
                <w:color w:val="7030A0"/>
                <w:sz w:val="25"/>
                <w:szCs w:val="25"/>
              </w:rPr>
              <w:t>я</w:t>
            </w:r>
            <w:r>
              <w:rPr>
                <w:b/>
                <w:color w:val="7030A0"/>
                <w:sz w:val="25"/>
                <w:szCs w:val="25"/>
              </w:rPr>
              <w:t xml:space="preserve"> граждан</w:t>
            </w:r>
            <w:bookmarkStart w:id="0" w:name="_GoBack"/>
            <w:bookmarkEnd w:id="0"/>
          </w:p>
          <w:p w:rsidR="008663E6" w:rsidRDefault="008663E6">
            <w:pPr>
              <w:ind w:left="165" w:right="159"/>
              <w:jc w:val="both"/>
              <w:rPr>
                <w:b/>
                <w:color w:val="7030A0"/>
                <w:sz w:val="25"/>
                <w:szCs w:val="25"/>
              </w:rPr>
            </w:pPr>
          </w:p>
        </w:tc>
        <w:tc>
          <w:tcPr>
            <w:tcW w:w="6120" w:type="dxa"/>
            <w:shd w:val="clear" w:color="auto" w:fill="F2F2F2"/>
          </w:tcPr>
          <w:p w:rsidR="008663E6" w:rsidRDefault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 w:rsidRPr="00FD09D7">
              <w:rPr>
                <w:b/>
                <w:bCs/>
                <w:color w:val="7030A0"/>
                <w:sz w:val="25"/>
                <w:szCs w:val="25"/>
              </w:rPr>
              <w:t xml:space="preserve">Лицо из числа детей-сирот и детей, оставшихся без попечения родителей, продолжающих обучение в общеобразовательных организациях </w:t>
            </w:r>
          </w:p>
        </w:tc>
      </w:tr>
      <w:tr w:rsidR="008663E6">
        <w:tc>
          <w:tcPr>
            <w:tcW w:w="4053" w:type="dxa"/>
            <w:shd w:val="clear" w:color="auto" w:fill="F2F2F2"/>
          </w:tcPr>
          <w:p w:rsidR="008663E6" w:rsidRDefault="00FD09D7">
            <w:pPr>
              <w:ind w:left="165" w:right="159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 xml:space="preserve">2. Размер выплаты </w:t>
            </w:r>
          </w:p>
          <w:p w:rsidR="008663E6" w:rsidRDefault="00FD09D7">
            <w:pPr>
              <w:ind w:left="165" w:right="159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с 1 января 2023 года</w:t>
            </w:r>
          </w:p>
        </w:tc>
        <w:tc>
          <w:tcPr>
            <w:tcW w:w="6120" w:type="dxa"/>
            <w:shd w:val="clear" w:color="auto" w:fill="F2F2F2"/>
          </w:tcPr>
          <w:p w:rsidR="008663E6" w:rsidRDefault="00FD09D7">
            <w:pPr>
              <w:widowControl w:val="0"/>
              <w:ind w:right="252" w:firstLine="534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 xml:space="preserve">Базовый размер выплаты – 6 392,61 руб. </w:t>
            </w:r>
          </w:p>
          <w:p w:rsidR="008663E6" w:rsidRDefault="00FD09D7">
            <w:pPr>
              <w:ind w:right="252" w:firstLine="534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- 7 671,13 руб. (южные районы);</w:t>
            </w:r>
          </w:p>
          <w:p w:rsidR="008663E6" w:rsidRDefault="00FD09D7" w:rsidP="00FD09D7">
            <w:pPr>
              <w:ind w:right="252" w:firstLine="534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- 8 310,39 руб. (северные районы)</w:t>
            </w:r>
          </w:p>
        </w:tc>
      </w:tr>
      <w:tr w:rsidR="008663E6">
        <w:tc>
          <w:tcPr>
            <w:tcW w:w="4053" w:type="dxa"/>
            <w:shd w:val="clear" w:color="auto" w:fill="F2F2F2"/>
          </w:tcPr>
          <w:p w:rsidR="008663E6" w:rsidRDefault="00FD09D7">
            <w:pPr>
              <w:ind w:left="165" w:right="159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3. Куда обращаться</w:t>
            </w:r>
          </w:p>
        </w:tc>
        <w:tc>
          <w:tcPr>
            <w:tcW w:w="6120" w:type="dxa"/>
            <w:shd w:val="clear" w:color="auto" w:fill="F2F2F2"/>
          </w:tcPr>
          <w:p w:rsidR="008663E6" w:rsidRDefault="00FD09D7" w:rsidP="00FD09D7">
            <w:pPr>
              <w:ind w:right="252" w:firstLine="534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 xml:space="preserve">С заявлением в учреждение социальной защиты населения по месту жительства </w:t>
            </w:r>
            <w:r>
              <w:rPr>
                <w:b/>
                <w:color w:val="7030A0"/>
                <w:sz w:val="25"/>
                <w:szCs w:val="25"/>
              </w:rPr>
              <w:br w:type="textWrapping" w:clear="all"/>
              <w:t>(месту пребывания)</w:t>
            </w:r>
          </w:p>
        </w:tc>
      </w:tr>
      <w:tr w:rsidR="008663E6">
        <w:tc>
          <w:tcPr>
            <w:tcW w:w="4053" w:type="dxa"/>
            <w:shd w:val="clear" w:color="auto" w:fill="F2F2F2"/>
          </w:tcPr>
          <w:p w:rsidR="008663E6" w:rsidRDefault="00FD09D7" w:rsidP="00FD09D7">
            <w:pPr>
              <w:ind w:left="165" w:right="159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 xml:space="preserve">4. </w:t>
            </w:r>
            <w:r w:rsidRPr="00FD09D7">
              <w:rPr>
                <w:b/>
                <w:color w:val="7030A0"/>
                <w:sz w:val="26"/>
                <w:szCs w:val="26"/>
              </w:rPr>
              <w:t>Документы (сведения), необходимые для назначения</w:t>
            </w:r>
            <w:r>
              <w:t xml:space="preserve"> </w:t>
            </w:r>
            <w:r>
              <w:rPr>
                <w:b/>
                <w:color w:val="7030A0"/>
                <w:sz w:val="26"/>
                <w:szCs w:val="26"/>
              </w:rPr>
              <w:t>е</w:t>
            </w:r>
            <w:r w:rsidRPr="00FD09D7">
              <w:rPr>
                <w:b/>
                <w:color w:val="7030A0"/>
                <w:sz w:val="26"/>
                <w:szCs w:val="26"/>
              </w:rPr>
              <w:t>жемесячн</w:t>
            </w:r>
            <w:r>
              <w:rPr>
                <w:b/>
                <w:color w:val="7030A0"/>
                <w:sz w:val="26"/>
                <w:szCs w:val="26"/>
              </w:rPr>
              <w:t>ой</w:t>
            </w:r>
            <w:r w:rsidRPr="00FD09D7">
              <w:rPr>
                <w:b/>
                <w:color w:val="7030A0"/>
                <w:sz w:val="26"/>
                <w:szCs w:val="26"/>
              </w:rPr>
              <w:t xml:space="preserve"> денежн</w:t>
            </w:r>
            <w:r>
              <w:rPr>
                <w:b/>
                <w:color w:val="7030A0"/>
                <w:sz w:val="26"/>
                <w:szCs w:val="26"/>
              </w:rPr>
              <w:t>ой</w:t>
            </w:r>
            <w:r w:rsidRPr="00FD09D7">
              <w:rPr>
                <w:b/>
                <w:color w:val="7030A0"/>
                <w:sz w:val="26"/>
                <w:szCs w:val="26"/>
              </w:rPr>
              <w:t xml:space="preserve"> выплат</w:t>
            </w:r>
            <w:r>
              <w:rPr>
                <w:b/>
                <w:color w:val="7030A0"/>
                <w:sz w:val="26"/>
                <w:szCs w:val="26"/>
              </w:rPr>
              <w:t>ы</w:t>
            </w:r>
            <w:r w:rsidRPr="00FD09D7">
              <w:rPr>
                <w:b/>
                <w:color w:val="7030A0"/>
                <w:sz w:val="26"/>
                <w:szCs w:val="26"/>
              </w:rPr>
              <w:t xml:space="preserve"> лицам из числа детей-сирот и детей, оставшихся без п</w:t>
            </w:r>
            <w:r w:rsidR="00E409C0">
              <w:rPr>
                <w:b/>
                <w:color w:val="7030A0"/>
                <w:sz w:val="26"/>
                <w:szCs w:val="26"/>
              </w:rPr>
              <w:t>опечения родителей, продолжающих</w:t>
            </w:r>
            <w:r w:rsidRPr="00FD09D7">
              <w:rPr>
                <w:b/>
                <w:color w:val="7030A0"/>
                <w:sz w:val="26"/>
                <w:szCs w:val="26"/>
              </w:rPr>
              <w:t xml:space="preserve"> обучение в общеобразовательных учреждениях</w:t>
            </w:r>
          </w:p>
        </w:tc>
        <w:tc>
          <w:tcPr>
            <w:tcW w:w="6120" w:type="dxa"/>
            <w:shd w:val="clear" w:color="auto" w:fill="F2F2F2"/>
          </w:tcPr>
          <w:p w:rsidR="00FD09D7" w:rsidRPr="00FD09D7" w:rsidRDefault="00FD09D7" w:rsidP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 w:rsidRPr="00FD09D7">
              <w:rPr>
                <w:b/>
                <w:color w:val="7030A0"/>
                <w:sz w:val="25"/>
                <w:szCs w:val="25"/>
              </w:rPr>
              <w:t>1) документ, удостоверяющий личность учащегося;</w:t>
            </w:r>
          </w:p>
          <w:p w:rsidR="00FD09D7" w:rsidRPr="00FD09D7" w:rsidRDefault="00FD09D7" w:rsidP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 w:rsidRPr="00FD09D7">
              <w:rPr>
                <w:b/>
                <w:color w:val="7030A0"/>
                <w:sz w:val="25"/>
                <w:szCs w:val="25"/>
              </w:rPr>
              <w:t>2) документы, удостоверяющие личность и полномочия представителя учащегося, - в случае обращения с заявлением представителя учащегося;</w:t>
            </w:r>
          </w:p>
          <w:p w:rsidR="00FD09D7" w:rsidRPr="00FD09D7" w:rsidRDefault="00FD09D7" w:rsidP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 w:rsidRPr="00FD09D7">
              <w:rPr>
                <w:b/>
                <w:color w:val="7030A0"/>
                <w:sz w:val="25"/>
                <w:szCs w:val="25"/>
              </w:rPr>
              <w:t>3) справка из общеобразовательной организации об обучении учащегося;</w:t>
            </w:r>
          </w:p>
          <w:p w:rsidR="008663E6" w:rsidRDefault="00FD09D7" w:rsidP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 w:rsidRPr="00FD09D7">
              <w:rPr>
                <w:b/>
                <w:color w:val="7030A0"/>
                <w:sz w:val="25"/>
                <w:szCs w:val="25"/>
              </w:rPr>
              <w:t xml:space="preserve">4) акт органа опеки и попечительства о назначении опекуна или попечителя - в случае, если выплата денежных средств на содержание ребенка, находящегося под попечительством, осуществлялась за пределами </w:t>
            </w:r>
            <w:r w:rsidR="00E409C0">
              <w:rPr>
                <w:b/>
                <w:color w:val="7030A0"/>
                <w:sz w:val="25"/>
                <w:szCs w:val="25"/>
              </w:rPr>
              <w:t xml:space="preserve">Иркутской </w:t>
            </w:r>
            <w:r w:rsidRPr="00FD09D7">
              <w:rPr>
                <w:b/>
                <w:color w:val="7030A0"/>
                <w:sz w:val="25"/>
                <w:szCs w:val="25"/>
              </w:rPr>
              <w:t>области</w:t>
            </w:r>
          </w:p>
        </w:tc>
      </w:tr>
      <w:tr w:rsidR="008663E6">
        <w:tc>
          <w:tcPr>
            <w:tcW w:w="4053" w:type="dxa"/>
            <w:shd w:val="clear" w:color="auto" w:fill="F2F2F2"/>
          </w:tcPr>
          <w:p w:rsidR="008663E6" w:rsidRDefault="00FD09D7" w:rsidP="00FD09D7">
            <w:pPr>
              <w:ind w:right="159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 xml:space="preserve">   5. Периодичность выплаты </w:t>
            </w:r>
          </w:p>
          <w:p w:rsidR="008663E6" w:rsidRDefault="008663E6">
            <w:pPr>
              <w:ind w:left="165" w:right="159" w:firstLine="180"/>
              <w:jc w:val="both"/>
              <w:rPr>
                <w:b/>
                <w:color w:val="7030A0"/>
                <w:sz w:val="25"/>
                <w:szCs w:val="25"/>
              </w:rPr>
            </w:pPr>
          </w:p>
        </w:tc>
        <w:tc>
          <w:tcPr>
            <w:tcW w:w="6120" w:type="dxa"/>
            <w:shd w:val="clear" w:color="auto" w:fill="F2F2F2"/>
          </w:tcPr>
          <w:p w:rsidR="008663E6" w:rsidRDefault="00FD09D7">
            <w:pPr>
              <w:ind w:firstLine="534"/>
              <w:jc w:val="both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7030A0"/>
                <w:sz w:val="25"/>
                <w:szCs w:val="25"/>
              </w:rPr>
              <w:t>Ежемесячно через кредитную организацию (на счет банковской карты, счет по вкладу), организацию почтовой связи, иные доставочные организации</w:t>
            </w:r>
          </w:p>
        </w:tc>
      </w:tr>
    </w:tbl>
    <w:p w:rsidR="002B3A0A" w:rsidRDefault="002B3A0A"/>
    <w:sectPr w:rsidR="002B3A0A">
      <w:pgSz w:w="11906" w:h="16838"/>
      <w:pgMar w:top="180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E6" w:rsidRDefault="00FD09D7">
      <w:r>
        <w:separator/>
      </w:r>
    </w:p>
  </w:endnote>
  <w:endnote w:type="continuationSeparator" w:id="0">
    <w:p w:rsidR="008663E6" w:rsidRDefault="00FD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E6" w:rsidRDefault="00FD09D7">
      <w:r>
        <w:separator/>
      </w:r>
    </w:p>
  </w:footnote>
  <w:footnote w:type="continuationSeparator" w:id="0">
    <w:p w:rsidR="008663E6" w:rsidRDefault="00FD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83575"/>
    <w:multiLevelType w:val="hybridMultilevel"/>
    <w:tmpl w:val="2CE49BBC"/>
    <w:lvl w:ilvl="0" w:tplc="01044CC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24C2E6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D707DB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935817E0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B2215E8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242F572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25CBE4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E62BE54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27A46F2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E6"/>
    <w:rsid w:val="002B3A0A"/>
    <w:rsid w:val="008663E6"/>
    <w:rsid w:val="008B737C"/>
    <w:rsid w:val="00BA28CE"/>
    <w:rsid w:val="00E409C0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9A00"/>
  <w15:docId w15:val="{DA6C0CC1-94B7-4827-9562-7364D0CE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>GUSZN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Иркутской области «О внесении изменений в Закон Иркутской области от 22</dc:title>
  <dc:creator>100-nsm</dc:creator>
  <cp:lastModifiedBy>Данилова Евгения Николаевна</cp:lastModifiedBy>
  <cp:revision>48</cp:revision>
  <dcterms:created xsi:type="dcterms:W3CDTF">2013-01-31T05:38:00Z</dcterms:created>
  <dcterms:modified xsi:type="dcterms:W3CDTF">2023-01-10T10:46:00Z</dcterms:modified>
  <cp:version>983040</cp:version>
</cp:coreProperties>
</file>