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6"/>
        <w:tblW w:w="10745" w:type="dxa"/>
        <w:tblLook w:val="01E0" w:firstRow="1" w:lastRow="1" w:firstColumn="1" w:lastColumn="1" w:noHBand="0" w:noVBand="0"/>
      </w:tblPr>
      <w:tblGrid>
        <w:gridCol w:w="4652"/>
        <w:gridCol w:w="6093"/>
      </w:tblGrid>
      <w:tr w:rsidR="001C37DD">
        <w:trPr>
          <w:trHeight w:val="3596"/>
        </w:trPr>
        <w:tc>
          <w:tcPr>
            <w:tcW w:w="4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37DD" w:rsidRDefault="005F3D4E">
            <w:pPr>
              <w:tabs>
                <w:tab w:val="left" w:pos="1365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96845" cy="17926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696845" cy="179260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6600"/>
                            </a:solidFill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37DD" w:rsidRDefault="001C37DD">
            <w:pPr>
              <w:tabs>
                <w:tab w:val="left" w:pos="1365"/>
              </w:tabs>
              <w:ind w:firstLine="709"/>
              <w:jc w:val="center"/>
              <w:rPr>
                <w:b/>
                <w:color w:val="800000"/>
                <w:sz w:val="44"/>
                <w:szCs w:val="44"/>
              </w:rPr>
            </w:pPr>
          </w:p>
          <w:p w:rsidR="001C37DD" w:rsidRDefault="005F3D4E">
            <w:pPr>
              <w:tabs>
                <w:tab w:val="left" w:pos="1365"/>
              </w:tabs>
              <w:ind w:firstLine="709"/>
              <w:jc w:val="center"/>
              <w:rPr>
                <w:b/>
                <w:color w:val="800000"/>
                <w:sz w:val="44"/>
                <w:szCs w:val="44"/>
              </w:rPr>
            </w:pPr>
            <w:r>
              <w:rPr>
                <w:b/>
                <w:color w:val="800000"/>
                <w:sz w:val="44"/>
                <w:szCs w:val="44"/>
              </w:rPr>
              <w:t>ПАМЯТКА</w:t>
            </w:r>
          </w:p>
          <w:p w:rsidR="001C37DD" w:rsidRDefault="001C37DD">
            <w:pPr>
              <w:tabs>
                <w:tab w:val="left" w:pos="1365"/>
              </w:tabs>
              <w:ind w:firstLine="709"/>
              <w:jc w:val="center"/>
              <w:rPr>
                <w:b/>
                <w:color w:val="800000"/>
                <w:sz w:val="20"/>
                <w:szCs w:val="20"/>
              </w:rPr>
            </w:pPr>
          </w:p>
          <w:p w:rsidR="001C37DD" w:rsidRDefault="005F3D4E">
            <w:pPr>
              <w:tabs>
                <w:tab w:val="left" w:pos="1365"/>
              </w:tabs>
              <w:jc w:val="center"/>
              <w:rPr>
                <w:b/>
                <w:i/>
                <w:color w:val="FF6600"/>
                <w:sz w:val="30"/>
                <w:szCs w:val="30"/>
              </w:rPr>
            </w:pPr>
            <w:r>
              <w:rPr>
                <w:b/>
                <w:i/>
                <w:color w:val="FF6600"/>
                <w:sz w:val="30"/>
                <w:szCs w:val="30"/>
              </w:rPr>
              <w:t xml:space="preserve">Закон Иркутской области </w:t>
            </w:r>
            <w:r>
              <w:rPr>
                <w:b/>
                <w:i/>
                <w:color w:val="FF6600"/>
                <w:sz w:val="30"/>
                <w:szCs w:val="30"/>
              </w:rPr>
              <w:br w:type="textWrapping" w:clear="all"/>
            </w:r>
            <w:r>
              <w:rPr>
                <w:b/>
                <w:i/>
                <w:color w:val="FF6600"/>
                <w:sz w:val="30"/>
                <w:szCs w:val="30"/>
              </w:rPr>
              <w:t>от 07.12. 2009 года</w:t>
            </w:r>
          </w:p>
          <w:p w:rsidR="001C37DD" w:rsidRDefault="005F3D4E">
            <w:pPr>
              <w:tabs>
                <w:tab w:val="left" w:pos="136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color w:val="FF6600"/>
                <w:sz w:val="30"/>
                <w:szCs w:val="30"/>
              </w:rPr>
              <w:t xml:space="preserve"> № 92/58-оз «Об отдельных вопросах осуществления деятельности по опеке и попечительству в Иркутской области»</w:t>
            </w:r>
          </w:p>
        </w:tc>
      </w:tr>
    </w:tbl>
    <w:p w:rsidR="001C37DD" w:rsidRDefault="001C37DD">
      <w:pPr>
        <w:rPr>
          <w:vanish/>
        </w:rPr>
      </w:pPr>
    </w:p>
    <w:tbl>
      <w:tblPr>
        <w:tblW w:w="10501" w:type="dxa"/>
        <w:tblInd w:w="-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EAF1DD"/>
        <w:tblLook w:val="01E0" w:firstRow="1" w:lastRow="1" w:firstColumn="1" w:lastColumn="1" w:noHBand="0" w:noVBand="0"/>
      </w:tblPr>
      <w:tblGrid>
        <w:gridCol w:w="3130"/>
        <w:gridCol w:w="7371"/>
      </w:tblGrid>
      <w:tr w:rsidR="001C37DD">
        <w:tc>
          <w:tcPr>
            <w:tcW w:w="3130" w:type="dxa"/>
            <w:shd w:val="clear" w:color="auto" w:fill="EAF1DD"/>
          </w:tcPr>
          <w:p w:rsidR="001C37DD" w:rsidRDefault="005F3D4E">
            <w:pPr>
              <w:jc w:val="both"/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>1. Категории граждан, получающих данное пособие</w:t>
            </w:r>
          </w:p>
        </w:tc>
        <w:tc>
          <w:tcPr>
            <w:tcW w:w="7371" w:type="dxa"/>
            <w:shd w:val="clear" w:color="auto" w:fill="EAF1DD"/>
          </w:tcPr>
          <w:p w:rsidR="001C37DD" w:rsidRDefault="005F3D4E">
            <w:pPr>
              <w:jc w:val="both"/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>Приемный родитель</w:t>
            </w:r>
          </w:p>
        </w:tc>
      </w:tr>
      <w:tr w:rsidR="001C37DD">
        <w:tc>
          <w:tcPr>
            <w:tcW w:w="3130" w:type="dxa"/>
            <w:shd w:val="clear" w:color="auto" w:fill="EAF1DD"/>
          </w:tcPr>
          <w:p w:rsidR="001C37DD" w:rsidRDefault="005F3D4E">
            <w:pPr>
              <w:jc w:val="both"/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 xml:space="preserve">2. Размер пособия </w:t>
            </w:r>
            <w:r>
              <w:rPr>
                <w:b/>
                <w:color w:val="632423"/>
                <w:sz w:val="28"/>
                <w:szCs w:val="28"/>
              </w:rPr>
              <w:t>с</w:t>
            </w:r>
            <w:r>
              <w:rPr>
                <w:color w:val="632423"/>
                <w:sz w:val="28"/>
                <w:szCs w:val="28"/>
              </w:rPr>
              <w:t xml:space="preserve"> </w:t>
            </w:r>
            <w:r>
              <w:rPr>
                <w:b/>
                <w:color w:val="632423"/>
                <w:sz w:val="28"/>
                <w:szCs w:val="28"/>
              </w:rPr>
              <w:t>01.01.2023 года</w:t>
            </w:r>
          </w:p>
          <w:p w:rsidR="001C37DD" w:rsidRDefault="001C37DD">
            <w:pPr>
              <w:jc w:val="both"/>
              <w:rPr>
                <w:color w:val="632423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EAF1DD"/>
          </w:tcPr>
          <w:p w:rsidR="001C37DD" w:rsidRDefault="005F3D4E">
            <w:pPr>
              <w:ind w:firstLine="504"/>
              <w:jc w:val="both"/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 xml:space="preserve">Вознаграждение приемным родителям выплачивается одному из приемных родителей в размере </w:t>
            </w:r>
            <w:r>
              <w:rPr>
                <w:b/>
                <w:color w:val="632423"/>
                <w:sz w:val="28"/>
                <w:szCs w:val="28"/>
              </w:rPr>
              <w:t>3 995,37 руб.</w:t>
            </w:r>
            <w:r>
              <w:rPr>
                <w:color w:val="632423"/>
                <w:sz w:val="28"/>
                <w:szCs w:val="28"/>
              </w:rPr>
              <w:t xml:space="preserve"> в месяц на каждого принятого на воспитание ребенка.</w:t>
            </w:r>
          </w:p>
          <w:p w:rsidR="001C37DD" w:rsidRDefault="005F3D4E">
            <w:pPr>
              <w:ind w:firstLine="504"/>
              <w:jc w:val="both"/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>Размер вознаграждения приемным родителям</w:t>
            </w:r>
            <w:r>
              <w:rPr>
                <w:color w:val="632423"/>
                <w:sz w:val="28"/>
                <w:szCs w:val="28"/>
              </w:rPr>
              <w:t xml:space="preserve"> увеличивается на </w:t>
            </w:r>
            <w:r>
              <w:rPr>
                <w:b/>
                <w:color w:val="632423"/>
                <w:sz w:val="28"/>
                <w:szCs w:val="28"/>
              </w:rPr>
              <w:t>25</w:t>
            </w:r>
            <w:r>
              <w:rPr>
                <w:color w:val="632423"/>
                <w:sz w:val="28"/>
                <w:szCs w:val="28"/>
              </w:rPr>
              <w:t xml:space="preserve"> процентов за каждого принятого на воспитание ребенка, не достигшего трехлетнего возраста, ребенка с ограниченными возможностями здоровья либо ребенка-инвалида.</w:t>
            </w:r>
          </w:p>
          <w:p w:rsidR="001C37DD" w:rsidRDefault="005F3D4E">
            <w:pPr>
              <w:ind w:firstLine="504"/>
              <w:jc w:val="both"/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>Вознаграждение приемным родителям осуществляется с применением районных коэ</w:t>
            </w:r>
            <w:r>
              <w:rPr>
                <w:color w:val="632423"/>
                <w:sz w:val="28"/>
                <w:szCs w:val="28"/>
              </w:rPr>
              <w:t>ффициентов и процентных надбавок к заработной плате за работу в районах Крайнего Севера и приравненных к ним местностях, установленных федеральным и областным законодательством.</w:t>
            </w:r>
          </w:p>
        </w:tc>
      </w:tr>
      <w:tr w:rsidR="001C37DD">
        <w:tc>
          <w:tcPr>
            <w:tcW w:w="3130" w:type="dxa"/>
            <w:shd w:val="clear" w:color="auto" w:fill="EAF1DD"/>
          </w:tcPr>
          <w:p w:rsidR="001C37DD" w:rsidRDefault="005F3D4E">
            <w:pPr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 xml:space="preserve">3. Куда обращаться </w:t>
            </w:r>
          </w:p>
        </w:tc>
        <w:tc>
          <w:tcPr>
            <w:tcW w:w="7371" w:type="dxa"/>
            <w:shd w:val="clear" w:color="auto" w:fill="EAF1DD"/>
          </w:tcPr>
          <w:p w:rsidR="001C37DD" w:rsidRDefault="005F3D4E">
            <w:pPr>
              <w:pStyle w:val="ConsPlusNormal"/>
              <w:widowControl/>
              <w:ind w:firstLine="504"/>
              <w:jc w:val="both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С заявлением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 xml:space="preserve"> учреждение социальной защиты населения</w:t>
            </w:r>
            <w:r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 xml:space="preserve"> по месту жительства.</w:t>
            </w:r>
          </w:p>
        </w:tc>
      </w:tr>
      <w:tr w:rsidR="001C37DD">
        <w:tc>
          <w:tcPr>
            <w:tcW w:w="3130" w:type="dxa"/>
            <w:shd w:val="clear" w:color="auto" w:fill="EAF1DD"/>
          </w:tcPr>
          <w:p w:rsidR="001C37DD" w:rsidRDefault="005F3D4E" w:rsidP="005F3D4E">
            <w:pPr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 xml:space="preserve">4. </w:t>
            </w:r>
            <w:r w:rsidRPr="005F3D4E">
              <w:rPr>
                <w:color w:val="632423"/>
                <w:sz w:val="28"/>
                <w:szCs w:val="28"/>
              </w:rPr>
              <w:t xml:space="preserve">Документы (сведения), необходимые для назначения </w:t>
            </w:r>
            <w:r>
              <w:rPr>
                <w:color w:val="632423"/>
                <w:sz w:val="28"/>
                <w:szCs w:val="28"/>
              </w:rPr>
              <w:t>вознаграждения приемным родителям</w:t>
            </w:r>
          </w:p>
        </w:tc>
        <w:tc>
          <w:tcPr>
            <w:tcW w:w="7371" w:type="dxa"/>
            <w:shd w:val="clear" w:color="auto" w:fill="EAF1DD"/>
          </w:tcPr>
          <w:p w:rsidR="001C37DD" w:rsidRDefault="005F3D4E">
            <w:pPr>
              <w:pStyle w:val="ConsPlusNormal"/>
              <w:widowControl/>
              <w:ind w:firstLine="504"/>
              <w:jc w:val="both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) копия паспорта либо иного документа, удостоверяющего личность приемного родителя;</w:t>
            </w:r>
          </w:p>
          <w:p w:rsidR="001C37DD" w:rsidRDefault="005F3D4E">
            <w:pPr>
              <w:ind w:firstLine="504"/>
              <w:jc w:val="both"/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>2</w:t>
            </w:r>
            <w:r>
              <w:rPr>
                <w:color w:val="632423"/>
                <w:sz w:val="28"/>
                <w:szCs w:val="28"/>
              </w:rPr>
              <w:t>) копия договора о передаче ребенка на воспитание в приемную семью.</w:t>
            </w:r>
          </w:p>
          <w:p w:rsidR="001C37DD" w:rsidRDefault="001C37DD">
            <w:pPr>
              <w:ind w:firstLine="504"/>
              <w:jc w:val="both"/>
              <w:rPr>
                <w:color w:val="632423"/>
                <w:sz w:val="28"/>
                <w:szCs w:val="28"/>
              </w:rPr>
            </w:pPr>
          </w:p>
        </w:tc>
      </w:tr>
      <w:tr w:rsidR="001C37DD">
        <w:tc>
          <w:tcPr>
            <w:tcW w:w="3130" w:type="dxa"/>
            <w:shd w:val="clear" w:color="auto" w:fill="EAF1DD"/>
          </w:tcPr>
          <w:p w:rsidR="001C37DD" w:rsidRDefault="005F3D4E">
            <w:pPr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>5. Периодичность выплаты пособия</w:t>
            </w:r>
          </w:p>
        </w:tc>
        <w:tc>
          <w:tcPr>
            <w:tcW w:w="7371" w:type="dxa"/>
            <w:shd w:val="clear" w:color="auto" w:fill="EAF1DD"/>
          </w:tcPr>
          <w:p w:rsidR="001C37DD" w:rsidRDefault="005F3D4E">
            <w:pPr>
              <w:jc w:val="both"/>
              <w:rPr>
                <w:color w:val="632423"/>
                <w:sz w:val="28"/>
                <w:szCs w:val="28"/>
              </w:rPr>
            </w:pPr>
            <w:r>
              <w:rPr>
                <w:color w:val="632423"/>
                <w:sz w:val="28"/>
                <w:szCs w:val="28"/>
              </w:rPr>
              <w:t>Ежемесячно через кредитную организацию (на счет банковской карты, счет по вкладу), организацию почтовой связи, иные доставочные организации.</w:t>
            </w:r>
          </w:p>
        </w:tc>
      </w:tr>
    </w:tbl>
    <w:p w:rsidR="00000000" w:rsidRDefault="005F3D4E"/>
    <w:sectPr w:rsidR="0000000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DD" w:rsidRDefault="005F3D4E">
      <w:r>
        <w:separator/>
      </w:r>
    </w:p>
  </w:endnote>
  <w:endnote w:type="continuationSeparator" w:id="0">
    <w:p w:rsidR="001C37DD" w:rsidRDefault="005F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DD" w:rsidRDefault="005F3D4E">
      <w:r>
        <w:separator/>
      </w:r>
    </w:p>
  </w:footnote>
  <w:footnote w:type="continuationSeparator" w:id="0">
    <w:p w:rsidR="001C37DD" w:rsidRDefault="005F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DD"/>
    <w:rsid w:val="001C37DD"/>
    <w:rsid w:val="005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35AC-5DB8-48AC-A032-9644A9AC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GUSZN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Иркутской области «Об оплате труда приемных родителей, в Иркутской области»</dc:title>
  <dc:creator>100-nsm</dc:creator>
  <cp:lastModifiedBy>Новак Нелли Сергеевна</cp:lastModifiedBy>
  <cp:revision>64</cp:revision>
  <dcterms:created xsi:type="dcterms:W3CDTF">2007-03-09T07:35:00Z</dcterms:created>
  <dcterms:modified xsi:type="dcterms:W3CDTF">2023-01-11T01:53:00Z</dcterms:modified>
  <cp:version>983040</cp:version>
</cp:coreProperties>
</file>