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620"/>
        <w:jc w:val="center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 xml:space="preserve">В</w:t>
      </w:r>
      <w:r>
        <w:rPr>
          <w:color w:val="7030a0"/>
          <w:sz w:val="26"/>
          <w:szCs w:val="26"/>
        </w:rPr>
        <w:t xml:space="preserve"> соответствии с</w:t>
      </w:r>
      <w:r>
        <w:rPr>
          <w:color w:val="7030a0"/>
          <w:sz w:val="26"/>
          <w:szCs w:val="26"/>
        </w:rPr>
        <w:t xml:space="preserve"> Законом Иркутской области </w:t>
      </w:r>
      <w:r>
        <w:rPr>
          <w:color w:val="7030a0"/>
          <w:sz w:val="26"/>
          <w:szCs w:val="26"/>
        </w:rPr>
        <w:t xml:space="preserve"> </w:t>
      </w:r>
      <w:r>
        <w:rPr>
          <w:color w:val="7030a0"/>
          <w:sz w:val="26"/>
          <w:szCs w:val="26"/>
        </w:rPr>
        <w:t xml:space="preserve">от 18.07.2008 № 44-оз </w:t>
      </w:r>
      <w:r>
        <w:rPr>
          <w:color w:val="7030a0"/>
          <w:sz w:val="26"/>
          <w:szCs w:val="26"/>
        </w:rPr>
      </w:r>
    </w:p>
    <w:p>
      <w:pPr>
        <w:pStyle w:val="620"/>
        <w:jc w:val="center"/>
        <w:rPr>
          <w:color w:val="7030a0"/>
          <w:spacing w:val="-4"/>
          <w:sz w:val="26"/>
          <w:szCs w:val="26"/>
          <w:shd w:val="clear" w:color="auto" w:fill="e8e8e8"/>
        </w:rPr>
      </w:pPr>
      <w:r>
        <w:rPr>
          <w:color w:val="7030a0"/>
          <w:spacing w:val="-4"/>
          <w:sz w:val="26"/>
          <w:szCs w:val="26"/>
          <w:shd w:val="clear" w:color="auto" w:fill="e8e8e8"/>
        </w:rPr>
        <w:t xml:space="preserve"> "Об условиях и порядке присвоения звания "Ветеран труда" в Иркутской области" </w:t>
      </w:r>
      <w:r>
        <w:rPr>
          <w:color w:val="7030a0"/>
          <w:spacing w:val="-4"/>
          <w:sz w:val="26"/>
          <w:szCs w:val="26"/>
          <w:shd w:val="clear" w:color="auto" w:fill="e8e8e8"/>
        </w:rPr>
      </w:r>
      <w:r>
        <w:rPr>
          <w:color w:val="7030a0"/>
          <w:spacing w:val="-4"/>
          <w:sz w:val="26"/>
          <w:szCs w:val="26"/>
          <w:shd w:val="clear" w:color="auto" w:fill="e8e8e8"/>
        </w:rPr>
      </w:r>
    </w:p>
    <w:p>
      <w:pPr>
        <w:pStyle w:val="620"/>
        <w:jc w:val="center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</w:r>
      <w:r>
        <w:rPr>
          <w:color w:val="7030a0"/>
          <w:sz w:val="26"/>
          <w:szCs w:val="26"/>
        </w:rPr>
      </w:r>
    </w:p>
    <w:tbl>
      <w:tblPr>
        <w:tblW w:w="10916" w:type="dxa"/>
        <w:tblInd w:w="-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85"/>
        <w:gridCol w:w="8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1"/>
        </w:trPr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1. Категория граждан, имеющая право на </w:t>
            </w:r>
            <w:r>
              <w:rPr>
                <w:sz w:val="22"/>
                <w:szCs w:val="23"/>
              </w:rPr>
              <w:t xml:space="preserve">присвоение звания</w:t>
            </w:r>
            <w:r>
              <w:rPr>
                <w:sz w:val="22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Граждане Российской Федерации:</w:t>
            </w:r>
            <w:r/>
          </w:p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1) награжденные по состоянию на 30 июня 2016 года</w:t>
            </w:r>
            <w:r>
              <w:t xml:space="preserve"> ведомственными знаками отличия в труде при наличии трудового (страхового) стажа, учитываемого для назначения пенсии, не менее 25 лет для мужчин и 20 лет для женщин или выслуги лет, необходимой для назначения пенсии за выслугу лет в календарном исчислении;</w:t>
            </w:r>
            <w:r/>
          </w:p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2) наг</w:t>
            </w:r>
            <w:r>
              <w:t xml:space="preserve">ражденные орденами или медалями СССР или Российской Федерации, либо удостоенным почетных званий СССР или Российской Федерации, либо награжденным почетными грамотами Президента Российской Федерации или удостоенным благодарности Президента Российской Федерац</w:t>
            </w:r>
            <w:r>
              <w:t xml:space="preserve">ии, либо награжденным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имеющим трудовой (страховой) стаж, учитываемый для назначения пенс</w:t>
            </w:r>
            <w:r>
              <w:t xml:space="preserve">ии, не менее 25 лет для мужчин и 20 лет для женщин или выслугу лет, необходимую для назначения пенсии за выслугу лет в календарном исчислении; </w:t>
            </w:r>
            <w:r/>
          </w:p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3) начавшим трудовую деятельность в несовершеннолетнем возрасте в период Великой Отечественной войны и имеющим трудовой (страховой) стаж не менее 40 лет для мужчин и 35 лет для женщин. </w:t>
            </w:r>
            <w:r/>
          </w:p>
          <w:p>
            <w:pPr>
              <w:pStyle w:val="625"/>
              <w:jc w:val="both"/>
              <w:spacing w:before="0" w:beforeAutospacing="0" w:after="0" w:afterAutospacing="0"/>
            </w:pPr>
            <w:r/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spacing w:line="240" w:lineRule="exact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2. Документ, подтверждающий право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0"/>
              <w:ind w:firstLine="30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620"/>
              <w:ind w:firstLine="303"/>
              <w:jc w:val="both"/>
              <w:rPr>
                <w:b/>
              </w:rPr>
            </w:pPr>
            <w:r>
              <w:rPr>
                <w:b/>
              </w:rPr>
              <w:t xml:space="preserve">Удостоверение </w:t>
            </w:r>
            <w:r>
              <w:rPr>
                <w:b/>
              </w:rPr>
              <w:t xml:space="preserve">ветерана труда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3. Куда обращаться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rPr>
                <w:bCs/>
                <w:sz w:val="23"/>
                <w:szCs w:val="23"/>
              </w:rPr>
              <w:t xml:space="preserve">- </w:t>
            </w:r>
            <w:r>
              <w:t xml:space="preserve">путем личного обращения в учреждение,</w:t>
            </w:r>
            <w:r/>
          </w:p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- через организации почтовой связи,</w:t>
            </w:r>
            <w:r/>
          </w:p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- в электронной форме посредством Единого портала,</w:t>
            </w:r>
            <w:r/>
          </w:p>
          <w:p>
            <w:pPr>
              <w:pStyle w:val="625"/>
              <w:ind w:firstLine="540"/>
              <w:jc w:val="both"/>
              <w:spacing w:before="0" w:beforeAutospacing="0" w:after="0" w:afterAutospacing="0" w:line="288" w:lineRule="atLeast"/>
            </w:pPr>
            <w:r>
              <w:t xml:space="preserve">- через многофункциональный центр предоставления государственных и муниципальных услуг (далее - МФЦ).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t xml:space="preserve">4. Документы, предоставляемые заявителем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spacing w:before="0" w:beforeAutospacing="0" w:after="0" w:afterAutospacing="0"/>
              <w:tabs>
                <w:tab w:val="left" w:pos="318" w:leader="none"/>
              </w:tabs>
            </w:pPr>
            <w:r>
              <w:t xml:space="preserve">1. Паспорт гражданина Российской Федерации или иной документ, удостоверяющий личность в соответствии с законодательством Российской Федерации;</w:t>
            </w:r>
            <w:r/>
          </w:p>
          <w:p>
            <w:pPr>
              <w:pStyle w:val="625"/>
              <w:jc w:val="both"/>
              <w:spacing w:before="0" w:beforeAutospacing="0" w:after="0" w:afterAutospacing="0" w:line="288" w:lineRule="atLeast"/>
            </w:pPr>
            <w:r>
              <w:t xml:space="preserve">2. </w:t>
            </w:r>
            <w:r>
              <w:t xml:space="preserve">Документы, подтверждающие награждение ведомственными знаками отличия в труде</w:t>
            </w:r>
            <w:r/>
          </w:p>
          <w:p>
            <w:pPr>
              <w:pStyle w:val="625"/>
              <w:jc w:val="both"/>
              <w:spacing w:before="0" w:beforeAutospacing="0" w:after="0" w:afterAutospacing="0" w:line="288" w:lineRule="atLeast"/>
            </w:pPr>
            <w:r>
              <w:t xml:space="preserve">3. </w:t>
            </w:r>
            <w:r>
              <w:t xml:space="preserve">Документы, подтверждающие необходимый трудовой стаж (выслугу лет) (в части трудовой книжки за периоды трудовой деятельности до 1 января 2020 года)</w:t>
            </w:r>
            <w:r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</w:t>
            </w:r>
            <w:r>
              <w:rPr>
                <w:sz w:val="23"/>
                <w:szCs w:val="23"/>
              </w:rPr>
              <w:t xml:space="preserve"> Срок обращения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931" w:type="dxa"/>
            <w:vAlign w:val="top"/>
            <w:textDirection w:val="lrTb"/>
            <w:noWrap w:val="false"/>
          </w:tcPr>
          <w:p>
            <w:pPr>
              <w:pStyle w:val="620"/>
              <w:ind w:firstLine="3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</w:t>
            </w:r>
            <w:r>
              <w:rPr>
                <w:sz w:val="23"/>
                <w:szCs w:val="23"/>
              </w:rPr>
              <w:t xml:space="preserve">удостоверением</w:t>
            </w:r>
            <w:r>
              <w:rPr>
                <w:sz w:val="23"/>
                <w:szCs w:val="23"/>
              </w:rPr>
              <w:t xml:space="preserve"> можно обратиться в любое время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62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</w:r>
      <w:r>
        <w:rPr>
          <w:b/>
          <w:color w:val="c00000"/>
          <w:sz w:val="26"/>
          <w:szCs w:val="26"/>
        </w:rPr>
      </w:r>
    </w:p>
    <w:p>
      <w:pPr>
        <w:pStyle w:val="632"/>
        <w:ind w:firstLine="709"/>
        <w:jc w:val="both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2"/>
        <w:ind w:firstLine="709"/>
        <w:jc w:val="both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284" w:right="567" w:bottom="0" w:left="73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extBookC">
    <w:panose1 w:val="02000603000000000000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en-US" w:bidi="ar-SA"/>
    </w:rPr>
  </w:style>
  <w:style w:type="character" w:styleId="621">
    <w:name w:val="Основной шрифт абзаца, Знак Знак Знак Знак Знак Знак1 Знак Знак Знак Знак Знак Знак Знак Знак Знак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Сетка таблицы"/>
    <w:basedOn w:val="622"/>
    <w:next w:val="624"/>
    <w:link w:val="620"/>
    <w:uiPriority w:val="59"/>
    <w:tblPr/>
  </w:style>
  <w:style w:type="paragraph" w:styleId="625">
    <w:name w:val="Обычный (веб)"/>
    <w:basedOn w:val="620"/>
    <w:next w:val="625"/>
    <w:link w:val="620"/>
    <w:uiPriority w:val="99"/>
    <w:pPr>
      <w:spacing w:before="100" w:beforeAutospacing="1" w:after="100" w:afterAutospacing="1"/>
    </w:pPr>
    <w:rPr>
      <w:lang w:eastAsia="ru-RU"/>
    </w:rPr>
  </w:style>
  <w:style w:type="paragraph" w:styleId="626">
    <w:name w:val=" Знак Знак Знак Знак Знак Знак1 Знак Знак Знак Знак Знак Знак Знак"/>
    <w:basedOn w:val="620"/>
    <w:next w:val="626"/>
    <w:link w:val="620"/>
    <w:rPr>
      <w:rFonts w:ascii="Verdana" w:hAnsi="Verdana" w:cs="Verdana"/>
      <w:sz w:val="20"/>
      <w:szCs w:val="20"/>
      <w:lang w:val="en-US"/>
    </w:rPr>
  </w:style>
  <w:style w:type="paragraph" w:styleId="627">
    <w:name w:val="Текст выноски"/>
    <w:basedOn w:val="620"/>
    <w:next w:val="627"/>
    <w:link w:val="620"/>
    <w:semiHidden/>
    <w:rPr>
      <w:rFonts w:ascii="Tahoma" w:hAnsi="Tahoma" w:cs="Tahoma"/>
      <w:sz w:val="16"/>
      <w:szCs w:val="16"/>
    </w:rPr>
  </w:style>
  <w:style w:type="paragraph" w:styleId="628">
    <w:name w:val="&lt;0442&gt;&lt;0435&gt;&lt;043A&gt;&lt;0441&gt;&lt;0442&gt;"/>
    <w:basedOn w:val="620"/>
    <w:next w:val="628"/>
    <w:link w:val="620"/>
    <w:pPr>
      <w:ind w:firstLine="227"/>
      <w:jc w:val="both"/>
      <w:spacing w:line="220" w:lineRule="atLeast"/>
    </w:pPr>
    <w:rPr>
      <w:rFonts w:ascii="TextBookC" w:hAnsi="TextBookC" w:cs="TextBookC"/>
      <w:color w:val="000000"/>
      <w:sz w:val="16"/>
      <w:szCs w:val="16"/>
      <w:lang w:eastAsia="ru-RU"/>
    </w:rPr>
  </w:style>
  <w:style w:type="paragraph" w:styleId="629">
    <w:name w:val=" Знак Знак Знак Знак Знак"/>
    <w:basedOn w:val="620"/>
    <w:next w:val="629"/>
    <w:link w:val="620"/>
    <w:rPr>
      <w:rFonts w:ascii="Verdana" w:hAnsi="Verdana" w:cs="Verdana"/>
      <w:sz w:val="20"/>
      <w:szCs w:val="20"/>
      <w:lang w:val="en-US"/>
    </w:rPr>
  </w:style>
  <w:style w:type="paragraph" w:styleId="630">
    <w:name w:val="ConsPlusNormal"/>
    <w:next w:val="630"/>
    <w:link w:val="620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631">
    <w:name w:val="Абзац списка"/>
    <w:basedOn w:val="620"/>
    <w:next w:val="631"/>
    <w:link w:val="620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632">
    <w:name w:val="western"/>
    <w:basedOn w:val="620"/>
    <w:next w:val="632"/>
    <w:link w:val="620"/>
    <w:pPr>
      <w:spacing w:before="100" w:beforeAutospacing="1" w:after="119"/>
    </w:pPr>
    <w:rPr>
      <w:color w:val="000000"/>
      <w:sz w:val="28"/>
      <w:szCs w:val="28"/>
      <w:lang w:eastAsia="ru-RU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GUSZN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</dc:title>
  <dc:creator>100-ssk</dc:creator>
  <cp:lastModifiedBy>polovinskaya</cp:lastModifiedBy>
  <cp:revision>76</cp:revision>
  <dcterms:created xsi:type="dcterms:W3CDTF">2012-12-21T04:20:00Z</dcterms:created>
  <dcterms:modified xsi:type="dcterms:W3CDTF">2025-01-30T00:56:06Z</dcterms:modified>
  <cp:version>786432</cp:version>
</cp:coreProperties>
</file>